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22〕52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2022年区级财政衔接资金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贾村镇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底县路沿线人居环境整治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贾村镇人民政府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关于上报底县路沿线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人居环境整治项目实施方案的报告》(宝陈贾政字〔202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104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区级财政衔接补助资金项目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底县路沿线人居环境整治项目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对陵二村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组、3组、8组、10组修建排污渠道共计2300米，并于3组、4组街道及陵厚寺街道底县路边修建垃圾分类收集屋各1个；2.对陵一村6组、8组通组断头路共计200米进行硬化贯通。对3组修建排污渠道250米并加装盖板。对6组底县路畔村垃圾临时倾倒点（0.2亩、深2米）进行清理回填复垦。在3组、5组街道修建垃圾分类收集屋1个；3.在广福村4组、5组、8组、10组街道修建垃圾分类收集屋1个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  <w:lang w:eastAsia="zh-CN"/>
        </w:rPr>
        <w:t>在龙新村贾龙路畔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组、8组街道分别修建垃圾分类收集屋各1个；5.在桥镇村街道北、中、南段各修建垃圾分类收集屋各1个；6.在马塚村桥南路沿线1组、6组各修建垃圾分类收集屋各1个；7.在上官村沿底线路1组、4组各修建垃圾分类收集屋各1个；8.在贾村村4组修建微型垃圾中转站1个。街道中（永乐路口）、西段、9组、8组街道修建垃圾分类收集屋各1个。9.新华村在底县路沿线修建微型垃圾中转站1个，10组、13组分别修建垃圾分类收集屋各1个；10.在文酒村2组、4组街道分别修建垃圾分类收集屋各1个；11.在杜家凹村3组、4组、5组街道分别修建垃圾分类收集屋各1个；12.在扶托村组、组街道分别修建垃圾分类收集屋各1个。垃圾中转站采用地面水泥浇筑，房屋为一体式建成，垃圾分类收集屋为钢架式结构，地面水泥浇筑，便于集中收集、运输及保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28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排污渠道建设共计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2550米，采用水泥浇筑并加装盖板；2.200米断头路采用水泥一次性浇筑；3.垃圾倾倒点主要为原垃圾清理及回填复垦；4.新建2个微型垃圾中转站采取地面水泥浇筑并安装30平米结构式一体式收集屋；5.新建31个垃圾分类收集屋主要采取地面水泥硬化、钢构式主体设计，便于转运及清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2022年5月至2022年7月。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贾村镇底县路沿线人居环境整治项目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8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2659"/>
        <w:gridCol w:w="1365"/>
        <w:gridCol w:w="1703"/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2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65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型号</w:t>
            </w:r>
          </w:p>
        </w:tc>
        <w:tc>
          <w:tcPr>
            <w:tcW w:w="13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数量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单价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12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道路硬化</w:t>
            </w:r>
          </w:p>
        </w:tc>
        <w:tc>
          <w:tcPr>
            <w:tcW w:w="265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路基整平、碾压混凝土厚度</w:t>
            </w:r>
            <w:r>
              <w:rPr>
                <w:rFonts w:hint="eastAsia"/>
                <w:vertAlign w:val="baseline"/>
                <w:lang w:val="en-US" w:eastAsia="zh-CN"/>
              </w:rPr>
              <w:t>18 cm，宽300cm,最大粒径C30</w:t>
            </w:r>
          </w:p>
        </w:tc>
        <w:tc>
          <w:tcPr>
            <w:tcW w:w="13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600平方米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145元/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㎡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12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排污渠</w:t>
            </w:r>
          </w:p>
        </w:tc>
        <w:tc>
          <w:tcPr>
            <w:tcW w:w="265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断面</w:t>
            </w:r>
            <w:r>
              <w:rPr>
                <w:rFonts w:hint="eastAsia"/>
                <w:vertAlign w:val="baseline"/>
                <w:lang w:val="en-US" w:eastAsia="zh-CN"/>
              </w:rPr>
              <w:t>300mmX300mm，底板及侧壁厚度100 mm;C25混凝土盖板厚150mm</w:t>
            </w:r>
          </w:p>
        </w:tc>
        <w:tc>
          <w:tcPr>
            <w:tcW w:w="13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2550米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223.5元/m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12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微型垃圾中转站</w:t>
            </w:r>
          </w:p>
        </w:tc>
        <w:tc>
          <w:tcPr>
            <w:tcW w:w="265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主体</w:t>
            </w:r>
            <w:r>
              <w:rPr>
                <w:rFonts w:hint="eastAsia"/>
                <w:vertAlign w:val="baseline"/>
              </w:rPr>
              <w:t>10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3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3m</w:t>
            </w:r>
            <w:r>
              <w:rPr>
                <w:rFonts w:hint="eastAsia"/>
                <w:vertAlign w:val="baseline"/>
                <w:lang w:val="en-US" w:eastAsia="zh-CN"/>
              </w:rPr>
              <w:t>;</w:t>
            </w:r>
            <w:r>
              <w:rPr>
                <w:rFonts w:hint="eastAsia"/>
                <w:vertAlign w:val="baseline"/>
              </w:rPr>
              <w:t>立柱：100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100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3.0mm镀锌方管L型焊接而成；底框架：主梁100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100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4.0mm及副梁40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80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3.0mm镀锌方管；墙体框架：主梁80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80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3.0mm及副梁40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40</w:t>
            </w:r>
            <w:r>
              <w:rPr>
                <w:rFonts w:hint="eastAsia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vertAlign w:val="baseline"/>
              </w:rPr>
              <w:t>2.5mm镀锌方管；</w:t>
            </w:r>
            <w:r>
              <w:rPr>
                <w:rFonts w:hint="eastAsia"/>
                <w:vertAlign w:val="baseline"/>
                <w:lang w:eastAsia="zh-CN"/>
              </w:rPr>
              <w:t>地面为</w:t>
            </w:r>
            <w:r>
              <w:rPr>
                <w:rFonts w:hint="eastAsia"/>
                <w:vertAlign w:val="baseline"/>
              </w:rPr>
              <w:t>10</w:t>
            </w:r>
            <w:r>
              <w:rPr>
                <w:rFonts w:hint="eastAsia"/>
                <w:vertAlign w:val="baseline"/>
                <w:lang w:val="en-US" w:eastAsia="zh-CN"/>
              </w:rPr>
              <w:t>mX</w:t>
            </w:r>
            <w:r>
              <w:rPr>
                <w:rFonts w:hint="eastAsia"/>
                <w:vertAlign w:val="baseline"/>
              </w:rPr>
              <w:t>3</w:t>
            </w:r>
            <w:r>
              <w:rPr>
                <w:rFonts w:hint="eastAsia"/>
                <w:vertAlign w:val="baseline"/>
                <w:lang w:val="en-US" w:eastAsia="zh-CN"/>
              </w:rPr>
              <w:t>mX180mm混凝土浇筑</w:t>
            </w:r>
          </w:p>
        </w:tc>
        <w:tc>
          <w:tcPr>
            <w:tcW w:w="13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2座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80000元/座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2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垃圾分类收集屋</w:t>
            </w:r>
          </w:p>
        </w:tc>
        <w:tc>
          <w:tcPr>
            <w:tcW w:w="265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textAlignment w:val="auto"/>
              <w:rPr>
                <w:rFonts w:hint="eastAsia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规格</w:t>
            </w:r>
            <w:r>
              <w:rPr>
                <w:rFonts w:hint="eastAsia"/>
                <w:vertAlign w:val="baseline"/>
                <w:lang w:val="en-US" w:eastAsia="zh-CN"/>
              </w:rPr>
              <w:t>3200mmX1200 mmX 2300cm;材质为立柱镀锌方管，面板及顶棚为镀锌板地面为3200mmX1200mmX 180 mm混凝土浇筑</w:t>
            </w:r>
          </w:p>
        </w:tc>
        <w:tc>
          <w:tcPr>
            <w:tcW w:w="13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31座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9000元/座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279000元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2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垃圾填埋场复垦治理</w:t>
            </w:r>
          </w:p>
        </w:tc>
        <w:tc>
          <w:tcPr>
            <w:tcW w:w="265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textAlignment w:val="auto"/>
              <w:rPr>
                <w:rFonts w:hint="eastAsia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土地方回填</w:t>
            </w:r>
          </w:p>
        </w:tc>
        <w:tc>
          <w:tcPr>
            <w:tcW w:w="13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130m³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38.46元/m³</w:t>
            </w: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 w:eastAsia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2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</w:t>
            </w:r>
          </w:p>
        </w:tc>
        <w:tc>
          <w:tcPr>
            <w:tcW w:w="265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1101000元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底县路沿线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人居环境整治项目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110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竞争性磋商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该项目申请区级财政衔接资金110万元，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贾村镇底县路人居环境</w:t>
      </w:r>
      <w:r>
        <w:rPr>
          <w:rFonts w:hint="eastAsia" w:ascii="仿宋_GB2312" w:hAnsi="仿宋" w:eastAsia="仿宋_GB2312"/>
          <w:sz w:val="32"/>
          <w:szCs w:val="32"/>
        </w:rPr>
        <w:t>建设项目。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7月底前完成项目建设任务、资金兑付和报账工作，接受上级检查验收。同时，提早动手做好项目资产确权移交和后期运维管理等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840" w:firstLineChars="1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14D8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99"/>
    <w:pPr>
      <w:ind w:firstLine="420" w:firstLineChars="200"/>
    </w:pPr>
  </w:style>
  <w:style w:type="paragraph" w:styleId="4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1692</Words>
  <Characters>1967</Characters>
  <Lines>0</Lines>
  <Paragraphs>0</Paragraphs>
  <TotalTime>18</TotalTime>
  <ScaleCrop>false</ScaleCrop>
  <LinksUpToDate>false</LinksUpToDate>
  <CharactersWithSpaces>1997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2021-10-29T01:04:00Z</cp:lastPrinted>
  <dcterms:modified xsi:type="dcterms:W3CDTF">2022-04-26T00:29:52Z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